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Override PartName="/word/numbering.xml" ContentType="application/vnd.openxmlformats-officedocument.wordprocessingml.numbering+xml"/>
  <Default Extension="wmf" ContentType="image/x-wmf"/>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r>
        <w:object w:dxaOrig="890" w:dyaOrig="1255">
          <v:rect xmlns:o="urn:schemas-microsoft-com:office:office" xmlns:v="urn:schemas-microsoft-com:vml" id="rectole0000000000" style="width:44.500000pt;height:62.75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Република Србија </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Град Врање</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Градско веће </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Комисија за преглед поднетих извештаја о реализацији пројеката</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 расписаном јавном позиву за суфинансирање пројеката из буџета</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града Врања у области јавног информисања у 2018. години</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Датум:</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Број: </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p>
    <w:p>
      <w:pPr>
        <w:tabs>
          <w:tab w:val="left" w:pos="9072" w:leader="none"/>
        </w:tabs>
        <w:spacing w:before="0" w:after="20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 основу члана 26. став 1. и 2. Закона о јавном информисању и медијима („Службени гласник РС“бр.83/2014, 58/2015 и 12/2016 аутентично тумачење) и члана 41.  Правилника о суфинансирању пројеката за остваривање јавног интереса у области јавног информисања  („Службени гласник РС“ бр.16/16), учесници програма који су добили средства, извештај о реализацији пројекта достављају органу који је доделио средства у форми наративног и финансијског извештаја, а у складу са законом и закљученим уговором, Комисија за преглед поднетих извештаја о реализацији пројеката по расписаном јавном позиву </w:t>
      </w:r>
      <w:r>
        <w:rPr>
          <w:rFonts w:ascii="Times New Roman" w:hAnsi="Times New Roman" w:cs="Times New Roman" w:eastAsia="Times New Roman"/>
          <w:b/>
          <w:color w:val="auto"/>
          <w:spacing w:val="0"/>
          <w:position w:val="0"/>
          <w:sz w:val="24"/>
          <w:shd w:fill="auto" w:val="clear"/>
        </w:rPr>
        <w:t xml:space="preserve">за суфинансирање пројеката из буџета града Врања  за производњу медијских садржаја </w:t>
      </w:r>
      <w:r>
        <w:rPr>
          <w:rFonts w:ascii="Times New Roman" w:hAnsi="Times New Roman" w:cs="Times New Roman" w:eastAsia="Times New Roman"/>
          <w:b/>
          <w:color w:val="auto"/>
          <w:spacing w:val="0"/>
          <w:position w:val="0"/>
          <w:sz w:val="24"/>
          <w:u w:val="single"/>
          <w:shd w:fill="auto" w:val="clear"/>
        </w:rPr>
        <w:t xml:space="preserve">за радио, интернет и штампане медије и новинске агенције</w:t>
      </w:r>
      <w:r>
        <w:rPr>
          <w:rFonts w:ascii="Times New Roman" w:hAnsi="Times New Roman" w:cs="Times New Roman" w:eastAsia="Times New Roman"/>
          <w:b/>
          <w:color w:val="auto"/>
          <w:spacing w:val="0"/>
          <w:position w:val="0"/>
          <w:sz w:val="24"/>
          <w:shd w:fill="auto" w:val="clear"/>
        </w:rPr>
        <w:t xml:space="preserve"> у 2018. години, доноси,</w:t>
      </w:r>
      <w:r>
        <w:rPr>
          <w:rFonts w:ascii="Times New Roman" w:hAnsi="Times New Roman" w:cs="Times New Roman" w:eastAsia="Times New Roman"/>
          <w:color w:val="auto"/>
          <w:spacing w:val="0"/>
          <w:position w:val="0"/>
          <w:sz w:val="24"/>
          <w:shd w:fill="auto" w:val="clear"/>
        </w:rPr>
        <w:t xml:space="preserve">  </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ИЗВЕШТАЈ </w:t>
      </w:r>
    </w:p>
    <w:p>
      <w:pPr>
        <w:spacing w:before="0" w:after="20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p>
    <w:p>
      <w:pPr>
        <w:spacing w:before="0" w:after="200" w:line="276"/>
        <w:ind w:right="0" w:left="0" w:firstLine="720"/>
        <w:jc w:val="both"/>
        <w:rPr>
          <w:rFonts w:ascii="Times New Roman" w:hAnsi="Times New Roman" w:cs="Times New Roman" w:eastAsia="Times New Roman"/>
          <w:color w:val="FF0000"/>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У складу са напред наведеним, Градско веће је на седници одржаној 11.02.2019. године донело Решење о именовању Комисије за преглед поднетих извештаја о реализацији пројеката по расписаном јавном позиву за суфинансирање пројеката из буџета града Врања у области јавног информисања у 2018. години бр.06-28/6/2019-04.</w:t>
      </w:r>
    </w:p>
    <w:p>
      <w:pPr>
        <w:spacing w:before="0" w:after="200" w:line="276"/>
        <w:ind w:right="0" w:left="0" w:firstLine="720"/>
        <w:jc w:val="both"/>
        <w:rPr>
          <w:rFonts w:ascii="Times New Roman" w:hAnsi="Times New Roman" w:cs="Times New Roman" w:eastAsia="Times New Roman"/>
          <w:color w:val="auto"/>
          <w:spacing w:val="0"/>
          <w:position w:val="0"/>
          <w:sz w:val="24"/>
          <w:shd w:fill="auto" w:val="clear"/>
        </w:rPr>
      </w:pPr>
      <w:r>
        <w:rPr>
          <w:rFonts w:ascii="Calibri" w:hAnsi="Calibri" w:cs="Calibri" w:eastAsia="Calibri"/>
          <w:color w:val="auto"/>
          <w:spacing w:val="0"/>
          <w:position w:val="0"/>
          <w:sz w:val="22"/>
          <w:shd w:fill="auto" w:val="clear"/>
        </w:rPr>
        <w:t xml:space="preserve"> </w:t>
      </w:r>
      <w:r>
        <w:rPr>
          <w:rFonts w:ascii="Times New Roman" w:hAnsi="Times New Roman" w:cs="Times New Roman" w:eastAsia="Times New Roman"/>
          <w:color w:val="auto"/>
          <w:spacing w:val="0"/>
          <w:position w:val="0"/>
          <w:sz w:val="24"/>
          <w:shd w:fill="auto" w:val="clear"/>
        </w:rPr>
        <w:t xml:space="preserve">Комисија је дана -------------. године извршила преглед одобрених/уплаћених средстава медијским кућама, по Одлуци о додели средстaвa зa суфинaнсирaње пројекaтa из буџетa грaдa Врaњa из области јавног информисања за 2018. годину. Појединaчно су aнaлизирaни износи средстава који су правдани, да ли одговарају добијеним износима по конкурсу, изводи из банке, рачуни, уговори, као и садржај пројектних активности, усклађеност са рачунима и изводима из банке, одрживост и испуњеност циља у наративни извештај. </w:t>
      </w:r>
    </w:p>
    <w:p>
      <w:pPr>
        <w:spacing w:before="0" w:after="200" w:line="276"/>
        <w:ind w:right="0" w:left="0" w:firstLine="72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 нaстaвку је дат табеларни приказ учесника у конкурсу са називом пројекта и износом одобрених средстава, као и крaтaк прикaз финaнсијске aнaлизе – опрaвдaности трошењa одобрених средстaвa и анализе садржаја наративног извештаја са испуњеним или не  испуњеним циљем пројекта зa свaког</w:t>
      </w:r>
      <w:r>
        <w:rPr>
          <w:rFonts w:ascii="Calibri" w:hAnsi="Calibri" w:cs="Calibri" w:eastAsia="Calibri"/>
          <w:color w:val="auto"/>
          <w:spacing w:val="0"/>
          <w:position w:val="0"/>
          <w:sz w:val="26"/>
          <w:shd w:fill="auto" w:val="clear"/>
        </w:rPr>
        <w:t xml:space="preserve"> </w:t>
      </w:r>
      <w:r>
        <w:rPr>
          <w:rFonts w:ascii="Times New Roman" w:hAnsi="Times New Roman" w:cs="Times New Roman" w:eastAsia="Times New Roman"/>
          <w:color w:val="auto"/>
          <w:spacing w:val="0"/>
          <w:position w:val="0"/>
          <w:sz w:val="24"/>
          <w:shd w:fill="auto" w:val="clear"/>
        </w:rPr>
        <w:t xml:space="preserve">издавача медија, правног лице, односно предузетника који се бави производњом медијских садржаја и који је приложио доказ да ће суфинансирани медијски садржај бити реализован путем медија који је уписан у Регистар медија.</w:t>
      </w:r>
    </w:p>
    <w:tbl>
      <w:tblPr/>
      <w:tblGrid>
        <w:gridCol w:w="675"/>
        <w:gridCol w:w="2835"/>
        <w:gridCol w:w="2268"/>
        <w:gridCol w:w="1701"/>
        <w:gridCol w:w="3119"/>
        <w:gridCol w:w="4018"/>
      </w:tblGrid>
      <w:tr>
        <w:trPr>
          <w:trHeight w:val="1" w:hRule="atLeast"/>
          <w:jc w:val="left"/>
        </w:trPr>
        <w:tc>
          <w:tcPr>
            <w:tcW w:w="675" w:type="dxa"/>
            <w:tcBorders>
              <w:top w:val="single" w:color="000000" w:sz="4"/>
              <w:left w:val="single" w:color="000000" w:sz="4"/>
              <w:bottom w:val="single" w:color="000000" w:sz="4"/>
              <w:right w:val="single" w:color="000000" w:sz="4"/>
            </w:tcBorders>
            <w:shd w:color="auto" w:fill="a6a6a6"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b/>
                <w:color w:val="auto"/>
                <w:spacing w:val="0"/>
                <w:position w:val="0"/>
                <w:sz w:val="22"/>
                <w:shd w:fill="auto" w:val="clear"/>
              </w:rPr>
              <w:t xml:space="preserve">Р.бр</w:t>
            </w:r>
          </w:p>
        </w:tc>
        <w:tc>
          <w:tcPr>
            <w:tcW w:w="2835" w:type="dxa"/>
            <w:tcBorders>
              <w:top w:val="single" w:color="000000" w:sz="4"/>
              <w:left w:val="single" w:color="000000" w:sz="4"/>
              <w:bottom w:val="single" w:color="000000" w:sz="4"/>
              <w:right w:val="single" w:color="000000" w:sz="4"/>
            </w:tcBorders>
            <w:shd w:color="auto" w:fill="a6a6a6"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b/>
                <w:color w:val="auto"/>
                <w:spacing w:val="0"/>
                <w:position w:val="0"/>
                <w:sz w:val="22"/>
                <w:shd w:fill="auto" w:val="clear"/>
              </w:rPr>
              <w:t xml:space="preserve">Подносилац пројекта</w:t>
            </w:r>
          </w:p>
        </w:tc>
        <w:tc>
          <w:tcPr>
            <w:tcW w:w="2268" w:type="dxa"/>
            <w:tcBorders>
              <w:top w:val="single" w:color="000000" w:sz="4"/>
              <w:left w:val="single" w:color="000000" w:sz="4"/>
              <w:bottom w:val="single" w:color="000000" w:sz="4"/>
              <w:right w:val="single" w:color="000000" w:sz="4"/>
            </w:tcBorders>
            <w:shd w:color="auto" w:fill="a6a6a6"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b/>
                <w:color w:val="auto"/>
                <w:spacing w:val="0"/>
                <w:position w:val="0"/>
                <w:sz w:val="22"/>
                <w:shd w:fill="auto" w:val="clear"/>
              </w:rPr>
              <w:t xml:space="preserve">Назив пројекта</w:t>
            </w:r>
          </w:p>
        </w:tc>
        <w:tc>
          <w:tcPr>
            <w:tcW w:w="1701" w:type="dxa"/>
            <w:tcBorders>
              <w:top w:val="single" w:color="000000" w:sz="4"/>
              <w:left w:val="single" w:color="000000" w:sz="4"/>
              <w:bottom w:val="single" w:color="000000" w:sz="4"/>
              <w:right w:val="single" w:color="000000" w:sz="4"/>
            </w:tcBorders>
            <w:shd w:color="auto" w:fill="a6a6a6"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b/>
                <w:color w:val="auto"/>
                <w:spacing w:val="0"/>
                <w:position w:val="0"/>
                <w:sz w:val="22"/>
                <w:shd w:fill="auto" w:val="clear"/>
              </w:rPr>
              <w:t xml:space="preserve">Износ одобрених средстава</w:t>
            </w:r>
          </w:p>
        </w:tc>
        <w:tc>
          <w:tcPr>
            <w:tcW w:w="3119" w:type="dxa"/>
            <w:tcBorders>
              <w:top w:val="single" w:color="000000" w:sz="4"/>
              <w:left w:val="single" w:color="000000" w:sz="4"/>
              <w:bottom w:val="single" w:color="000000" w:sz="4"/>
              <w:right w:val="single" w:color="000000" w:sz="4"/>
            </w:tcBorders>
            <w:shd w:color="auto" w:fill="a6a6a6"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b/>
                <w:color w:val="auto"/>
                <w:spacing w:val="0"/>
                <w:position w:val="0"/>
                <w:sz w:val="22"/>
                <w:shd w:fill="auto" w:val="clear"/>
              </w:rPr>
              <w:t xml:space="preserve">Анализа - Финансијског извештаја</w:t>
            </w:r>
          </w:p>
        </w:tc>
        <w:tc>
          <w:tcPr>
            <w:tcW w:w="4018" w:type="dxa"/>
            <w:tcBorders>
              <w:top w:val="single" w:color="000000" w:sz="4"/>
              <w:left w:val="single" w:color="000000" w:sz="4"/>
              <w:bottom w:val="single" w:color="000000" w:sz="4"/>
              <w:right w:val="single" w:color="000000" w:sz="4"/>
            </w:tcBorders>
            <w:shd w:color="auto" w:fill="a6a6a6"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b/>
                <w:color w:val="auto"/>
                <w:spacing w:val="0"/>
                <w:position w:val="0"/>
                <w:sz w:val="22"/>
                <w:shd w:fill="auto" w:val="clear"/>
              </w:rPr>
              <w:t xml:space="preserve">Анализа - Наративног извештаја</w:t>
            </w:r>
          </w:p>
        </w:tc>
      </w:tr>
      <w:tr>
        <w:trPr>
          <w:trHeight w:val="1" w:hRule="atLeast"/>
          <w:jc w:val="left"/>
        </w:trPr>
        <w:tc>
          <w:tcPr>
            <w:tcW w:w="14616" w:type="dxa"/>
            <w:gridSpan w:val="6"/>
            <w:tcBorders>
              <w:top w:val="single" w:color="000000" w:sz="4"/>
              <w:left w:val="single" w:color="000000" w:sz="4"/>
              <w:bottom w:val="single" w:color="000000" w:sz="4"/>
              <w:right w:val="single" w:color="000000" w:sz="4"/>
            </w:tcBorders>
            <w:shd w:color="auto" w:fill="bfbfb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rPr>
            </w:pPr>
            <w:r>
              <w:rPr>
                <w:rFonts w:ascii="Calibri" w:hAnsi="Calibri" w:cs="Calibri" w:eastAsia="Calibri"/>
                <w:b/>
                <w:color w:val="auto"/>
                <w:spacing w:val="0"/>
                <w:position w:val="0"/>
                <w:sz w:val="22"/>
                <w:shd w:fill="auto" w:val="clear"/>
              </w:rPr>
              <w:t xml:space="preserve">ИНТЕРНЕТ ПОРТАЛИ</w:t>
            </w:r>
          </w:p>
        </w:tc>
      </w:tr>
      <w:tr>
        <w:trPr>
          <w:trHeight w:val="1" w:hRule="atLeast"/>
          <w:jc w:val="left"/>
        </w:trPr>
        <w:tc>
          <w:tcPr>
            <w:tcW w:w="6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w:t>
            </w:r>
          </w:p>
        </w:tc>
        <w:tc>
          <w:tcPr>
            <w:tcW w:w="28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Adria media group doo, Beograd - </w:t>
            </w:r>
            <w:r>
              <w:rPr>
                <w:rFonts w:ascii="Times New Roman" w:hAnsi="Times New Roman" w:cs="Times New Roman" w:eastAsia="Times New Roman"/>
                <w:b/>
                <w:color w:val="auto"/>
                <w:spacing w:val="0"/>
                <w:position w:val="0"/>
                <w:sz w:val="20"/>
                <w:u w:val="single"/>
                <w:shd w:fill="auto" w:val="clear"/>
              </w:rPr>
              <w:t xml:space="preserve">Espreso</w:t>
            </w:r>
          </w:p>
          <w:p>
            <w:pPr>
              <w:spacing w:before="0" w:after="0" w:line="240"/>
              <w:ind w:right="0" w:left="0" w:firstLine="0"/>
              <w:jc w:val="both"/>
              <w:rPr>
                <w:color w:val="auto"/>
                <w:spacing w:val="0"/>
                <w:position w:val="0"/>
              </w:rPr>
            </w:pPr>
          </w:p>
        </w:tc>
        <w:tc>
          <w:tcPr>
            <w:tcW w:w="22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327"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Врање–град за пример"</w:t>
            </w: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100.000,00</w:t>
            </w:r>
          </w:p>
        </w:tc>
        <w:tc>
          <w:tcPr>
            <w:tcW w:w="31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40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Objavljeno je 14 medijskih sadržaja. Javnost je informisana o naporima grada u oblasti ekologije, održivog razvoja, zaštite dece i mladih. Obra</w:t>
            </w:r>
            <w:r>
              <w:rPr>
                <w:rFonts w:ascii="Calibri" w:hAnsi="Calibri" w:cs="Calibri" w:eastAsia="Calibri"/>
                <w:color w:val="auto"/>
                <w:spacing w:val="0"/>
                <w:position w:val="0"/>
                <w:sz w:val="22"/>
                <w:shd w:fill="auto" w:val="clear"/>
              </w:rPr>
              <w:t xml:space="preserve">đene su i teme iz oblasti kulturno-umetničkog stvaralaštva, turizma, obrazovanja i dr. Ispunjen cilj projekta. </w:t>
            </w:r>
          </w:p>
        </w:tc>
      </w:tr>
      <w:tr>
        <w:trPr>
          <w:trHeight w:val="1" w:hRule="atLeast"/>
          <w:jc w:val="left"/>
        </w:trPr>
        <w:tc>
          <w:tcPr>
            <w:tcW w:w="6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w:t>
            </w:r>
          </w:p>
        </w:tc>
        <w:tc>
          <w:tcPr>
            <w:tcW w:w="28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Бујановачке</w:t>
            </w:r>
            <w:r>
              <w:rPr>
                <w:rFonts w:ascii="Times New Roman" w:hAnsi="Times New Roman" w:cs="Times New Roman" w:eastAsia="Times New Roman"/>
                <w:b/>
                <w:color w:val="auto"/>
                <w:spacing w:val="0"/>
                <w:position w:val="0"/>
                <w:sz w:val="20"/>
                <w:shd w:fill="auto" w:val="clear"/>
              </w:rPr>
              <w:t xml:space="preserve">-</w:t>
            </w:r>
            <w:r>
              <w:rPr>
                <w:rFonts w:ascii="Times New Roman" w:hAnsi="Times New Roman" w:cs="Times New Roman" w:eastAsia="Times New Roman"/>
                <w:b/>
                <w:color w:val="auto"/>
                <w:spacing w:val="0"/>
                <w:position w:val="0"/>
                <w:sz w:val="20"/>
                <w:u w:val="single"/>
                <w:shd w:fill="auto" w:val="clear"/>
              </w:rPr>
              <w:t xml:space="preserve">Bujanova</w:t>
            </w:r>
            <w:r>
              <w:rPr>
                <w:rFonts w:ascii="Times New Roman" w:hAnsi="Times New Roman" w:cs="Times New Roman" w:eastAsia="Times New Roman"/>
                <w:b/>
                <w:color w:val="auto"/>
                <w:spacing w:val="0"/>
                <w:position w:val="0"/>
                <w:sz w:val="20"/>
                <w:u w:val="single"/>
                <w:shd w:fill="auto" w:val="clear"/>
              </w:rPr>
              <w:t xml:space="preserve">čke</w:t>
            </w:r>
            <w:r>
              <w:rPr>
                <w:rFonts w:ascii="Times New Roman" w:hAnsi="Times New Roman" w:cs="Times New Roman" w:eastAsia="Times New Roman"/>
                <w:color w:val="auto"/>
                <w:spacing w:val="0"/>
                <w:position w:val="0"/>
                <w:sz w:val="20"/>
                <w:u w:val="single"/>
                <w:shd w:fill="auto" w:val="clear"/>
              </w:rPr>
              <w:t xml:space="preserve"> </w:t>
            </w:r>
          </w:p>
          <w:p>
            <w:pPr>
              <w:spacing w:before="0" w:after="0" w:line="240"/>
              <w:ind w:right="0" w:left="0" w:firstLine="0"/>
              <w:jc w:val="both"/>
              <w:rPr>
                <w:color w:val="auto"/>
                <w:spacing w:val="0"/>
                <w:position w:val="0"/>
              </w:rPr>
            </w:pPr>
          </w:p>
        </w:tc>
        <w:tc>
          <w:tcPr>
            <w:tcW w:w="22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327"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Унапређење квалитета живота старих људи у Врању – Комшија, добар дан!"</w:t>
            </w: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100.000,00</w:t>
            </w:r>
          </w:p>
        </w:tc>
        <w:tc>
          <w:tcPr>
            <w:tcW w:w="31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40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NEMA NARATIVNOG IZVEŠTAJA. Kao i prošle godine, ista situacija. </w:t>
            </w:r>
          </w:p>
        </w:tc>
      </w:tr>
      <w:tr>
        <w:trPr>
          <w:trHeight w:val="1" w:hRule="atLeast"/>
          <w:jc w:val="left"/>
        </w:trPr>
        <w:tc>
          <w:tcPr>
            <w:tcW w:w="6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3.</w:t>
            </w:r>
          </w:p>
        </w:tc>
        <w:tc>
          <w:tcPr>
            <w:tcW w:w="28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16"/>
                <w:shd w:fill="auto" w:val="clear"/>
              </w:rPr>
              <w:t xml:space="preserve">Zoran Radulovi</w:t>
            </w:r>
            <w:r>
              <w:rPr>
                <w:rFonts w:ascii="Times New Roman" w:hAnsi="Times New Roman" w:cs="Times New Roman" w:eastAsia="Times New Roman"/>
                <w:color w:val="auto"/>
                <w:spacing w:val="0"/>
                <w:position w:val="0"/>
                <w:sz w:val="16"/>
                <w:shd w:fill="auto" w:val="clear"/>
              </w:rPr>
              <w:t xml:space="preserve">ć PR agencija za izdavanje novina uključujući reklame i internet izdanje vranjenet</w:t>
            </w: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b/>
                <w:color w:val="auto"/>
                <w:spacing w:val="0"/>
                <w:position w:val="0"/>
                <w:sz w:val="18"/>
                <w:u w:val="single"/>
                <w:shd w:fill="auto" w:val="clear"/>
              </w:rPr>
              <w:t xml:space="preserve">VRANJENET</w:t>
            </w:r>
            <w:r>
              <w:rPr>
                <w:rFonts w:ascii="Times New Roman" w:hAnsi="Times New Roman" w:cs="Times New Roman" w:eastAsia="Times New Roman"/>
                <w:color w:val="auto"/>
                <w:spacing w:val="0"/>
                <w:position w:val="0"/>
                <w:sz w:val="18"/>
                <w:shd w:fill="auto" w:val="clear"/>
              </w:rPr>
              <w:t xml:space="preserve"> </w:t>
            </w:r>
          </w:p>
        </w:tc>
        <w:tc>
          <w:tcPr>
            <w:tcW w:w="22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327"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Креативна индустрија Врања"</w:t>
            </w: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327"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100.000.00</w:t>
            </w:r>
          </w:p>
        </w:tc>
        <w:tc>
          <w:tcPr>
            <w:tcW w:w="31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40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O osnovnim postulatima kreativne industrije. Obra</w:t>
            </w:r>
            <w:r>
              <w:rPr>
                <w:rFonts w:ascii="Calibri" w:hAnsi="Calibri" w:cs="Calibri" w:eastAsia="Calibri"/>
                <w:color w:val="auto"/>
                <w:spacing w:val="0"/>
                <w:position w:val="0"/>
                <w:sz w:val="22"/>
                <w:shd w:fill="auto" w:val="clear"/>
              </w:rPr>
              <w:t xml:space="preserve">đene su teme poput kulturnog nasleđa, izvođačke aktivnosti, vizuelne umetnosti, multimedijalne delatnosti, dizajna. U realizaciji učestvovalo 30 sagovornika, ispunjen cilj projekta. </w:t>
            </w:r>
          </w:p>
        </w:tc>
      </w:tr>
      <w:tr>
        <w:trPr>
          <w:trHeight w:val="1" w:hRule="atLeast"/>
          <w:jc w:val="left"/>
        </w:trPr>
        <w:tc>
          <w:tcPr>
            <w:tcW w:w="6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4.</w:t>
            </w:r>
          </w:p>
        </w:tc>
        <w:tc>
          <w:tcPr>
            <w:tcW w:w="28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0"/>
                <w:shd w:fill="auto" w:val="clear"/>
              </w:rPr>
              <w:t xml:space="preserve">Radiodifuzno društvo ok radio doo Vranje</w:t>
            </w:r>
            <w:r>
              <w:rPr>
                <w:rFonts w:ascii="Times New Roman" w:hAnsi="Times New Roman" w:cs="Times New Roman" w:eastAsia="Times New Roman"/>
                <w:color w:val="auto"/>
                <w:spacing w:val="0"/>
                <w:position w:val="0"/>
                <w:sz w:val="22"/>
                <w:shd w:fill="auto" w:val="clear"/>
              </w:rPr>
              <w:t xml:space="preserve"> – </w:t>
            </w:r>
          </w:p>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0"/>
                <w:u w:val="single"/>
                <w:shd w:fill="auto" w:val="clear"/>
              </w:rPr>
              <w:t xml:space="preserve">OK PORTAL</w:t>
            </w:r>
          </w:p>
        </w:tc>
        <w:tc>
          <w:tcPr>
            <w:tcW w:w="22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327"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Еколошки путоказ"</w:t>
            </w: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327"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350.000,00</w:t>
            </w:r>
          </w:p>
        </w:tc>
        <w:tc>
          <w:tcPr>
            <w:tcW w:w="31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40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U okviru projekta bilo je re</w:t>
            </w:r>
            <w:r>
              <w:rPr>
                <w:rFonts w:ascii="Calibri" w:hAnsi="Calibri" w:cs="Calibri" w:eastAsia="Calibri"/>
                <w:color w:val="auto"/>
                <w:spacing w:val="0"/>
                <w:position w:val="0"/>
                <w:sz w:val="22"/>
                <w:shd w:fill="auto" w:val="clear"/>
              </w:rPr>
              <w:t xml:space="preserve">či o značaju ekološke svesti građana. Kroz više tekstova građani su edukovani o osnovnim ekološkim pitanjima i savremenim dostignućima u ovoj oblasti. </w:t>
            </w:r>
            <w:r>
              <w:rPr>
                <w:rFonts w:ascii="Calibri" w:hAnsi="Calibri" w:cs="Calibri" w:eastAsia="Calibri"/>
                <w:color w:val="auto"/>
                <w:spacing w:val="0"/>
                <w:position w:val="0"/>
                <w:sz w:val="22"/>
                <w:shd w:fill="auto" w:val="clear"/>
              </w:rPr>
              <w:t xml:space="preserve">Ispunjen je cilj projekta. </w:t>
            </w:r>
          </w:p>
        </w:tc>
      </w:tr>
      <w:tr>
        <w:trPr>
          <w:trHeight w:val="1" w:hRule="atLeast"/>
          <w:jc w:val="left"/>
        </w:trPr>
        <w:tc>
          <w:tcPr>
            <w:tcW w:w="6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5.</w:t>
            </w:r>
          </w:p>
        </w:tc>
        <w:tc>
          <w:tcPr>
            <w:tcW w:w="28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Новости дана. РС доо Ниш - Палилула – </w:t>
            </w:r>
            <w:r>
              <w:rPr>
                <w:rFonts w:ascii="Times New Roman" w:hAnsi="Times New Roman" w:cs="Times New Roman" w:eastAsia="Times New Roman"/>
                <w:b/>
                <w:color w:val="auto"/>
                <w:spacing w:val="0"/>
                <w:position w:val="0"/>
                <w:sz w:val="20"/>
                <w:u w:val="single"/>
                <w:shd w:fill="auto" w:val="clear"/>
              </w:rPr>
              <w:t xml:space="preserve">NOVOSTI DANA</w:t>
            </w:r>
            <w:r>
              <w:rPr>
                <w:rFonts w:ascii="Times New Roman" w:hAnsi="Times New Roman" w:cs="Times New Roman" w:eastAsia="Times New Roman"/>
                <w:color w:val="auto"/>
                <w:spacing w:val="0"/>
                <w:position w:val="0"/>
                <w:sz w:val="20"/>
                <w:shd w:fill="auto" w:val="clear"/>
              </w:rPr>
              <w:t xml:space="preserve"> </w:t>
            </w:r>
          </w:p>
        </w:tc>
        <w:tc>
          <w:tcPr>
            <w:tcW w:w="22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327"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Да роде не забораве Врање"</w:t>
            </w: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327"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100.000,00</w:t>
            </w:r>
          </w:p>
        </w:tc>
        <w:tc>
          <w:tcPr>
            <w:tcW w:w="31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40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U okviru projekta, bilo je re</w:t>
            </w:r>
            <w:r>
              <w:rPr>
                <w:rFonts w:ascii="Calibri" w:hAnsi="Calibri" w:cs="Calibri" w:eastAsia="Calibri"/>
                <w:color w:val="auto"/>
                <w:spacing w:val="0"/>
                <w:position w:val="0"/>
                <w:sz w:val="22"/>
                <w:shd w:fill="auto" w:val="clear"/>
              </w:rPr>
              <w:t xml:space="preserve">či o natalitetu i borbi protiv steriliteta, u šest medijskih sadržaja. Ispunjen je cilj projekta. </w:t>
            </w:r>
          </w:p>
        </w:tc>
      </w:tr>
      <w:tr>
        <w:trPr>
          <w:trHeight w:val="1" w:hRule="atLeast"/>
          <w:jc w:val="left"/>
        </w:trPr>
        <w:tc>
          <w:tcPr>
            <w:tcW w:w="6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6.</w:t>
            </w:r>
          </w:p>
        </w:tc>
        <w:tc>
          <w:tcPr>
            <w:tcW w:w="28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spacing w:val="0"/>
                <w:position w:val="0"/>
              </w:rPr>
            </w:pPr>
            <w:r>
              <w:rPr>
                <w:rFonts w:ascii="Times New Roman" w:hAnsi="Times New Roman" w:cs="Times New Roman" w:eastAsia="Times New Roman"/>
                <w:color w:val="auto"/>
                <w:spacing w:val="0"/>
                <w:position w:val="0"/>
                <w:sz w:val="20"/>
                <w:shd w:fill="auto" w:val="clear"/>
              </w:rPr>
              <w:t xml:space="preserve">Врањска плус доо- </w:t>
            </w:r>
            <w:hyperlink xmlns:r="http://schemas.openxmlformats.org/officeDocument/2006/relationships" r:id="docRId2">
              <w:r>
                <w:rPr>
                  <w:rFonts w:ascii="Times New Roman" w:hAnsi="Times New Roman" w:cs="Times New Roman" w:eastAsia="Times New Roman"/>
                  <w:b/>
                  <w:color w:val="0000FF"/>
                  <w:spacing w:val="0"/>
                  <w:position w:val="0"/>
                  <w:sz w:val="18"/>
                  <w:u w:val="single"/>
                  <w:shd w:fill="auto" w:val="clear"/>
                </w:rPr>
                <w:t xml:space="preserve">WWW.VRANJSKAPLUSTV.RS</w:t>
              </w:r>
            </w:hyperlink>
          </w:p>
        </w:tc>
        <w:tc>
          <w:tcPr>
            <w:tcW w:w="22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327"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Треће полувреме"</w:t>
            </w: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327"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400.000,00</w:t>
            </w:r>
          </w:p>
        </w:tc>
        <w:tc>
          <w:tcPr>
            <w:tcW w:w="31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40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Objavljeno je deset autorskih tekstova. Opisane su karijere nekih od najuspešnijih sportista Grada Vranja. Ispunjen je cilj projekta, u okviru aktuelne teme: sport i fizi</w:t>
            </w:r>
            <w:r>
              <w:rPr>
                <w:rFonts w:ascii="Calibri" w:hAnsi="Calibri" w:cs="Calibri" w:eastAsia="Calibri"/>
                <w:color w:val="auto"/>
                <w:spacing w:val="0"/>
                <w:position w:val="0"/>
                <w:sz w:val="22"/>
                <w:shd w:fill="auto" w:val="clear"/>
              </w:rPr>
              <w:t xml:space="preserve">čka aktivnost, kao uslovi za unapređenje zdravlja i razvoja dece i mladih. </w:t>
            </w:r>
          </w:p>
        </w:tc>
      </w:tr>
      <w:tr>
        <w:trPr>
          <w:trHeight w:val="1" w:hRule="atLeast"/>
          <w:jc w:val="left"/>
        </w:trPr>
        <w:tc>
          <w:tcPr>
            <w:tcW w:w="6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7.</w:t>
            </w:r>
          </w:p>
        </w:tc>
        <w:tc>
          <w:tcPr>
            <w:tcW w:w="28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Центар за едукацију и развој - </w:t>
            </w:r>
            <w:r>
              <w:rPr>
                <w:rFonts w:ascii="Times New Roman" w:hAnsi="Times New Roman" w:cs="Times New Roman" w:eastAsia="Times New Roman"/>
                <w:b/>
                <w:color w:val="auto"/>
                <w:spacing w:val="0"/>
                <w:position w:val="0"/>
                <w:sz w:val="20"/>
                <w:u w:val="single"/>
                <w:shd w:fill="auto" w:val="clear"/>
              </w:rPr>
              <w:t xml:space="preserve">JUGMEDIA </w:t>
            </w:r>
          </w:p>
        </w:tc>
        <w:tc>
          <w:tcPr>
            <w:tcW w:w="22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327"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Ви питате ми тражимо одговор"</w:t>
            </w: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327"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150.000,00</w:t>
            </w:r>
          </w:p>
        </w:tc>
        <w:tc>
          <w:tcPr>
            <w:tcW w:w="31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40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Objavljeno 14 medijskih sadržaja. Obra</w:t>
            </w:r>
            <w:r>
              <w:rPr>
                <w:rFonts w:ascii="Calibri" w:hAnsi="Calibri" w:cs="Calibri" w:eastAsia="Calibri"/>
                <w:color w:val="auto"/>
                <w:spacing w:val="0"/>
                <w:position w:val="0"/>
                <w:sz w:val="22"/>
                <w:shd w:fill="auto" w:val="clear"/>
              </w:rPr>
              <w:t xml:space="preserve">đene su aktuelne teme: komunalni problemi, asfaltiranje ulica, vršnjačko nasilje. Bilo je reči i o kulurnim sadržajima u gradu. Ispunjen je cilj projekta. </w:t>
            </w:r>
          </w:p>
        </w:tc>
      </w:tr>
      <w:tr>
        <w:trPr>
          <w:trHeight w:val="1" w:hRule="atLeast"/>
          <w:jc w:val="left"/>
        </w:trPr>
        <w:tc>
          <w:tcPr>
            <w:tcW w:w="6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8.</w:t>
            </w:r>
          </w:p>
        </w:tc>
        <w:tc>
          <w:tcPr>
            <w:tcW w:w="28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Радио телевизија Врање доо </w:t>
            </w:r>
            <w:r>
              <w:rPr>
                <w:rFonts w:ascii="Times New Roman" w:hAnsi="Times New Roman" w:cs="Times New Roman" w:eastAsia="Times New Roman"/>
                <w:b/>
                <w:color w:val="auto"/>
                <w:spacing w:val="0"/>
                <w:position w:val="0"/>
                <w:sz w:val="18"/>
                <w:shd w:fill="auto" w:val="clear"/>
              </w:rPr>
              <w:t xml:space="preserve">– </w:t>
            </w:r>
            <w:r>
              <w:rPr>
                <w:rFonts w:ascii="Times New Roman" w:hAnsi="Times New Roman" w:cs="Times New Roman" w:eastAsia="Times New Roman"/>
                <w:b/>
                <w:color w:val="auto"/>
                <w:spacing w:val="0"/>
                <w:position w:val="0"/>
                <w:sz w:val="14"/>
                <w:u w:val="single"/>
                <w:shd w:fill="auto" w:val="clear"/>
              </w:rPr>
              <w:t xml:space="preserve">INTERNET PORTAL RADIO TELEVIZIJE VRANJE</w:t>
            </w:r>
          </w:p>
        </w:tc>
        <w:tc>
          <w:tcPr>
            <w:tcW w:w="22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327"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Превентива главу чува"</w:t>
            </w: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327"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250.000,00</w:t>
            </w:r>
          </w:p>
        </w:tc>
        <w:tc>
          <w:tcPr>
            <w:tcW w:w="31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40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Projekat sadrži 25 medijskih sadržaja, pre svega o zna</w:t>
            </w:r>
            <w:r>
              <w:rPr>
                <w:rFonts w:ascii="Calibri" w:hAnsi="Calibri" w:cs="Calibri" w:eastAsia="Calibri"/>
                <w:color w:val="auto"/>
                <w:spacing w:val="0"/>
                <w:position w:val="0"/>
                <w:sz w:val="22"/>
                <w:shd w:fill="auto" w:val="clear"/>
              </w:rPr>
              <w:t xml:space="preserve">čaju preventive. Bilo je reči mehanizmima kojima se ostvaruje osnovno pravo na zdravstvenu zaštitu. Jedna od tema je bilo i jačanje svesti o očuvanju zdravlja i značaju preventivnmih preegleda. Ispunjen cilj projekta. </w:t>
            </w:r>
          </w:p>
        </w:tc>
      </w:tr>
      <w:tr>
        <w:trPr>
          <w:trHeight w:val="1" w:hRule="atLeast"/>
          <w:jc w:val="left"/>
        </w:trPr>
        <w:tc>
          <w:tcPr>
            <w:tcW w:w="6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9.</w:t>
            </w:r>
          </w:p>
        </w:tc>
        <w:tc>
          <w:tcPr>
            <w:tcW w:w="28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spacing w:val="0"/>
                <w:position w:val="0"/>
              </w:rPr>
            </w:pPr>
            <w:r>
              <w:rPr>
                <w:rFonts w:ascii="Times New Roman" w:hAnsi="Times New Roman" w:cs="Times New Roman" w:eastAsia="Times New Roman"/>
                <w:color w:val="auto"/>
                <w:spacing w:val="0"/>
                <w:position w:val="0"/>
                <w:sz w:val="20"/>
                <w:shd w:fill="auto" w:val="clear"/>
              </w:rPr>
              <w:t xml:space="preserve">Informativni press centar opštine Vladi</w:t>
            </w:r>
            <w:r>
              <w:rPr>
                <w:rFonts w:ascii="Times New Roman" w:hAnsi="Times New Roman" w:cs="Times New Roman" w:eastAsia="Times New Roman"/>
                <w:color w:val="auto"/>
                <w:spacing w:val="0"/>
                <w:position w:val="0"/>
                <w:sz w:val="20"/>
                <w:shd w:fill="auto" w:val="clear"/>
              </w:rPr>
              <w:t xml:space="preserve">čin Han –</w:t>
            </w:r>
            <w:hyperlink xmlns:r="http://schemas.openxmlformats.org/officeDocument/2006/relationships" r:id="docRId3">
              <w:r>
                <w:rPr>
                  <w:rFonts w:ascii="Times New Roman" w:hAnsi="Times New Roman" w:cs="Times New Roman" w:eastAsia="Times New Roman"/>
                  <w:b/>
                  <w:color w:val="0000FF"/>
                  <w:spacing w:val="0"/>
                  <w:position w:val="0"/>
                  <w:sz w:val="16"/>
                  <w:u w:val="single"/>
                  <w:shd w:fill="auto" w:val="clear"/>
                </w:rPr>
                <w:t xml:space="preserve">WWW.VLADICINHANVESTI.RS</w:t>
              </w:r>
            </w:hyperlink>
          </w:p>
        </w:tc>
        <w:tc>
          <w:tcPr>
            <w:tcW w:w="22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327"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Врање као успешан пример европских интеграција на локалном нивоу"</w:t>
            </w: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327"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100.000,00</w:t>
            </w:r>
          </w:p>
        </w:tc>
        <w:tc>
          <w:tcPr>
            <w:tcW w:w="31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40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U okviru projekta, objavljeno je šest medijskih sadržaja. Glavna tema bila je stvaranje povoljnog poslovnog ambijenta kroz implementaciju brojnih razvojnih projekata. Bilo je re</w:t>
            </w:r>
            <w:r>
              <w:rPr>
                <w:rFonts w:ascii="Calibri" w:hAnsi="Calibri" w:cs="Calibri" w:eastAsia="Calibri"/>
                <w:color w:val="auto"/>
                <w:spacing w:val="0"/>
                <w:position w:val="0"/>
                <w:sz w:val="22"/>
                <w:shd w:fill="auto" w:val="clear"/>
              </w:rPr>
              <w:t xml:space="preserve">či i o značaju procesa pristupanja EU. </w:t>
            </w:r>
          </w:p>
        </w:tc>
      </w:tr>
      <w:tr>
        <w:trPr>
          <w:trHeight w:val="1" w:hRule="atLeast"/>
          <w:jc w:val="left"/>
        </w:trPr>
        <w:tc>
          <w:tcPr>
            <w:tcW w:w="6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10.</w:t>
            </w:r>
          </w:p>
        </w:tc>
        <w:tc>
          <w:tcPr>
            <w:tcW w:w="28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Покрет „Чувари Србије“ – </w:t>
            </w:r>
            <w:r>
              <w:rPr>
                <w:rFonts w:ascii="Times New Roman" w:hAnsi="Times New Roman" w:cs="Times New Roman" w:eastAsia="Times New Roman"/>
                <w:b/>
                <w:color w:val="auto"/>
                <w:spacing w:val="0"/>
                <w:position w:val="0"/>
                <w:sz w:val="18"/>
                <w:u w:val="single"/>
                <w:shd w:fill="auto" w:val="clear"/>
              </w:rPr>
              <w:t xml:space="preserve">INTERNET PORTAL </w:t>
            </w:r>
            <w:r>
              <w:rPr>
                <w:rFonts w:ascii="Times New Roman" w:hAnsi="Times New Roman" w:cs="Times New Roman" w:eastAsia="Times New Roman"/>
                <w:b/>
                <w:color w:val="auto"/>
                <w:spacing w:val="0"/>
                <w:position w:val="0"/>
                <w:sz w:val="18"/>
                <w:u w:val="single"/>
                <w:shd w:fill="auto" w:val="clear"/>
              </w:rPr>
              <w:t xml:space="preserve">ČUVARI SRBIJE</w:t>
            </w:r>
            <w:r>
              <w:rPr>
                <w:rFonts w:ascii="Times New Roman" w:hAnsi="Times New Roman" w:cs="Times New Roman" w:eastAsia="Times New Roman"/>
                <w:color w:val="auto"/>
                <w:spacing w:val="0"/>
                <w:position w:val="0"/>
                <w:sz w:val="20"/>
                <w:shd w:fill="auto" w:val="clear"/>
              </w:rPr>
              <w:t xml:space="preserve"> </w:t>
            </w:r>
          </w:p>
        </w:tc>
        <w:tc>
          <w:tcPr>
            <w:tcW w:w="22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327"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Исправно пиши"</w:t>
            </w: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327"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100.000,00</w:t>
            </w:r>
          </w:p>
        </w:tc>
        <w:tc>
          <w:tcPr>
            <w:tcW w:w="31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40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Projekat je ispunio cilj, a to je promocija pravopisa srpskog jezika i vranjskog dijalekta. Ukazano je i na naj</w:t>
            </w:r>
            <w:r>
              <w:rPr>
                <w:rFonts w:ascii="Calibri" w:hAnsi="Calibri" w:cs="Calibri" w:eastAsia="Calibri"/>
                <w:color w:val="auto"/>
                <w:spacing w:val="0"/>
                <w:position w:val="0"/>
                <w:sz w:val="22"/>
                <w:shd w:fill="auto" w:val="clear"/>
              </w:rPr>
              <w:t xml:space="preserve">češće pravopisne greške mlađe populacije. Objavljeno je šest članaka.  </w:t>
            </w:r>
          </w:p>
        </w:tc>
      </w:tr>
      <w:tr>
        <w:trPr>
          <w:trHeight w:val="1" w:hRule="atLeast"/>
          <w:jc w:val="left"/>
        </w:trPr>
        <w:tc>
          <w:tcPr>
            <w:tcW w:w="6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11.</w:t>
            </w:r>
          </w:p>
        </w:tc>
        <w:tc>
          <w:tcPr>
            <w:tcW w:w="28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Центар за јавно заговарање демократије-  </w:t>
            </w:r>
            <w:r>
              <w:rPr>
                <w:rFonts w:ascii="Times New Roman" w:hAnsi="Times New Roman" w:cs="Times New Roman" w:eastAsia="Times New Roman"/>
                <w:b/>
                <w:color w:val="auto"/>
                <w:spacing w:val="0"/>
                <w:position w:val="0"/>
                <w:sz w:val="16"/>
                <w:u w:val="single"/>
                <w:shd w:fill="auto" w:val="clear"/>
              </w:rPr>
              <w:t xml:space="preserve">INFORMATIVNI INTERNET PORTAL VRANJENEWS.RS</w:t>
            </w:r>
          </w:p>
        </w:tc>
        <w:tc>
          <w:tcPr>
            <w:tcW w:w="22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327"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Приче о врањској песми"</w:t>
            </w: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327"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250.000,00     </w:t>
            </w:r>
          </w:p>
        </w:tc>
        <w:tc>
          <w:tcPr>
            <w:tcW w:w="31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40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Osnovno polazište projekta je istraživanje o kulturnom životu grada. Ukupno je objavljeno deset </w:t>
            </w:r>
            <w:r>
              <w:rPr>
                <w:rFonts w:ascii="Calibri" w:hAnsi="Calibri" w:cs="Calibri" w:eastAsia="Calibri"/>
                <w:color w:val="auto"/>
                <w:spacing w:val="0"/>
                <w:position w:val="0"/>
                <w:sz w:val="22"/>
                <w:shd w:fill="auto" w:val="clear"/>
              </w:rPr>
              <w:t xml:space="preserve">članaka o vranjskoj gradskoj pesmi, koja je na nacionalnoj listi nematerijalnog kulturnog nasleđa. Ispunjen je cilj projekta. </w:t>
            </w:r>
          </w:p>
        </w:tc>
      </w:tr>
      <w:tr>
        <w:trPr>
          <w:trHeight w:val="1" w:hRule="atLeast"/>
          <w:jc w:val="left"/>
        </w:trPr>
        <w:tc>
          <w:tcPr>
            <w:tcW w:w="6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12.</w:t>
            </w:r>
          </w:p>
        </w:tc>
        <w:tc>
          <w:tcPr>
            <w:tcW w:w="28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Regionalna informativna agencija, </w:t>
            </w:r>
            <w:r>
              <w:rPr>
                <w:rFonts w:ascii="Times New Roman" w:hAnsi="Times New Roman" w:cs="Times New Roman" w:eastAsia="Times New Roman"/>
                <w:b/>
                <w:color w:val="auto"/>
                <w:spacing w:val="0"/>
                <w:position w:val="0"/>
                <w:sz w:val="20"/>
                <w:u w:val="single"/>
                <w:shd w:fill="auto" w:val="clear"/>
              </w:rPr>
              <w:t xml:space="preserve">JUGPRES</w:t>
            </w:r>
          </w:p>
        </w:tc>
        <w:tc>
          <w:tcPr>
            <w:tcW w:w="22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327"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Млади – добри примери за одрастање"</w:t>
            </w: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327"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150.000,00</w:t>
            </w:r>
          </w:p>
        </w:tc>
        <w:tc>
          <w:tcPr>
            <w:tcW w:w="31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40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Projekat se bavio svakodnevnim potrebama i idejama mladih iz razli</w:t>
            </w:r>
            <w:r>
              <w:rPr>
                <w:rFonts w:ascii="Calibri" w:hAnsi="Calibri" w:cs="Calibri" w:eastAsia="Calibri"/>
                <w:color w:val="auto"/>
                <w:spacing w:val="0"/>
                <w:position w:val="0"/>
                <w:sz w:val="22"/>
                <w:shd w:fill="auto" w:val="clear"/>
              </w:rPr>
              <w:t xml:space="preserve">čitih socioloških miljea. Obrađena je aktuelna problematika, kao i činjenice o tome kako mladi doživljavaju svoj grad. </w:t>
            </w:r>
            <w:r>
              <w:rPr>
                <w:rFonts w:ascii="Calibri" w:hAnsi="Calibri" w:cs="Calibri" w:eastAsia="Calibri"/>
                <w:color w:val="auto"/>
                <w:spacing w:val="0"/>
                <w:position w:val="0"/>
                <w:sz w:val="22"/>
                <w:shd w:fill="auto" w:val="clear"/>
              </w:rPr>
              <w:t xml:space="preserve">Ispunjen je cilj projekta. </w:t>
            </w:r>
          </w:p>
        </w:tc>
      </w:tr>
      <w:tr>
        <w:trPr>
          <w:trHeight w:val="1" w:hRule="atLeast"/>
          <w:jc w:val="left"/>
        </w:trPr>
        <w:tc>
          <w:tcPr>
            <w:tcW w:w="14616" w:type="dxa"/>
            <w:gridSpan w:val="6"/>
            <w:tcBorders>
              <w:top w:val="single" w:color="000000" w:sz="4"/>
              <w:left w:val="single" w:color="000000" w:sz="4"/>
              <w:bottom w:val="single" w:color="000000" w:sz="4"/>
              <w:right w:val="single" w:color="000000" w:sz="4"/>
            </w:tcBorders>
            <w:shd w:color="auto" w:fill="bfbfb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rPr>
            </w:pPr>
            <w:r>
              <w:rPr>
                <w:rFonts w:ascii="Calibri" w:hAnsi="Calibri" w:cs="Calibri" w:eastAsia="Calibri"/>
                <w:b/>
                <w:color w:val="auto"/>
                <w:spacing w:val="0"/>
                <w:position w:val="0"/>
                <w:sz w:val="22"/>
                <w:shd w:fill="auto" w:val="clear"/>
              </w:rPr>
              <w:t xml:space="preserve">РАДИО</w:t>
            </w:r>
          </w:p>
        </w:tc>
      </w:tr>
      <w:tr>
        <w:trPr>
          <w:trHeight w:val="1" w:hRule="atLeast"/>
          <w:jc w:val="left"/>
        </w:trPr>
        <w:tc>
          <w:tcPr>
            <w:tcW w:w="6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13.</w:t>
            </w:r>
          </w:p>
        </w:tc>
        <w:tc>
          <w:tcPr>
            <w:tcW w:w="28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Privredno društvo Ritam doo Vranjska Banja –</w:t>
            </w:r>
            <w:r>
              <w:rPr>
                <w:rFonts w:ascii="Times New Roman" w:hAnsi="Times New Roman" w:cs="Times New Roman" w:eastAsia="Times New Roman"/>
                <w:b/>
                <w:color w:val="auto"/>
                <w:spacing w:val="0"/>
                <w:position w:val="0"/>
                <w:sz w:val="16"/>
                <w:u w:val="single"/>
                <w:shd w:fill="auto" w:val="clear"/>
              </w:rPr>
              <w:t xml:space="preserve">RADIO RITAM VRANJSKA BANJA</w:t>
            </w:r>
            <w:r>
              <w:rPr>
                <w:rFonts w:ascii="Times New Roman" w:hAnsi="Times New Roman" w:cs="Times New Roman" w:eastAsia="Times New Roman"/>
                <w:color w:val="auto"/>
                <w:spacing w:val="0"/>
                <w:position w:val="0"/>
                <w:sz w:val="20"/>
                <w:shd w:fill="auto" w:val="clear"/>
              </w:rPr>
              <w:t xml:space="preserve"> </w:t>
            </w:r>
          </w:p>
        </w:tc>
        <w:tc>
          <w:tcPr>
            <w:tcW w:w="22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327"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Превенција је пола здравља – Рак је излечив"</w:t>
            </w: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327"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200.000,00</w:t>
            </w:r>
          </w:p>
        </w:tc>
        <w:tc>
          <w:tcPr>
            <w:tcW w:w="31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40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Ukupno je realizovano osam emisija. Osnovna tema je bila izuzetno osetljiva , a to je prevencija bolesti, odnosno zna</w:t>
            </w:r>
            <w:r>
              <w:rPr>
                <w:rFonts w:ascii="Calibri" w:hAnsi="Calibri" w:cs="Calibri" w:eastAsia="Calibri"/>
                <w:color w:val="auto"/>
                <w:spacing w:val="0"/>
                <w:position w:val="0"/>
                <w:sz w:val="22"/>
                <w:shd w:fill="auto" w:val="clear"/>
              </w:rPr>
              <w:t xml:space="preserve">čaj dijagnostike u otkrivanju maligniteta. Ispunjen je cilj projekta. </w:t>
            </w:r>
          </w:p>
        </w:tc>
      </w:tr>
      <w:tr>
        <w:trPr>
          <w:trHeight w:val="1" w:hRule="atLeast"/>
          <w:jc w:val="left"/>
        </w:trPr>
        <w:tc>
          <w:tcPr>
            <w:tcW w:w="6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14.</w:t>
            </w:r>
          </w:p>
        </w:tc>
        <w:tc>
          <w:tcPr>
            <w:tcW w:w="28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w:t>
            </w:r>
            <w:r>
              <w:rPr>
                <w:rFonts w:ascii="Times New Roman" w:hAnsi="Times New Roman" w:cs="Times New Roman" w:eastAsia="Times New Roman"/>
                <w:color w:val="auto"/>
                <w:spacing w:val="0"/>
                <w:position w:val="0"/>
                <w:sz w:val="20"/>
                <w:shd w:fill="auto" w:val="clear"/>
              </w:rPr>
              <w:t xml:space="preserve">Radiodifuzno društvo ok radio doo Vranje</w:t>
            </w:r>
            <w:r>
              <w:rPr>
                <w:rFonts w:ascii="Times New Roman" w:hAnsi="Times New Roman" w:cs="Times New Roman" w:eastAsia="Times New Roman"/>
                <w:color w:val="auto"/>
                <w:spacing w:val="0"/>
                <w:position w:val="0"/>
                <w:sz w:val="22"/>
                <w:shd w:fill="auto" w:val="clear"/>
              </w:rPr>
              <w:t xml:space="preserve"> – </w:t>
            </w:r>
          </w:p>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0"/>
                <w:u w:val="single"/>
                <w:shd w:fill="auto" w:val="clear"/>
              </w:rPr>
              <w:t xml:space="preserve">OK RADIO</w:t>
            </w:r>
          </w:p>
        </w:tc>
        <w:tc>
          <w:tcPr>
            <w:tcW w:w="22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327"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Културни катапулт"</w:t>
            </w: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327"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550.000,00</w:t>
            </w:r>
          </w:p>
        </w:tc>
        <w:tc>
          <w:tcPr>
            <w:tcW w:w="31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40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O zna</w:t>
            </w:r>
            <w:r>
              <w:rPr>
                <w:rFonts w:ascii="Calibri" w:hAnsi="Calibri" w:cs="Calibri" w:eastAsia="Calibri"/>
                <w:color w:val="auto"/>
                <w:spacing w:val="0"/>
                <w:position w:val="0"/>
                <w:sz w:val="22"/>
                <w:shd w:fill="auto" w:val="clear"/>
              </w:rPr>
              <w:t xml:space="preserve">čaju očuvanja nacionalnog identiteta juga Srbije. Takođe, bilo je i reči o očuvanju kulturnog nasleđa, neophodnosti pravilnog korišćenja standardnog jezika i spomenika kulture. Ispunjen je cilj. </w:t>
            </w:r>
          </w:p>
        </w:tc>
      </w:tr>
      <w:tr>
        <w:trPr>
          <w:trHeight w:val="1" w:hRule="atLeast"/>
          <w:jc w:val="left"/>
        </w:trPr>
        <w:tc>
          <w:tcPr>
            <w:tcW w:w="6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15.</w:t>
            </w:r>
          </w:p>
        </w:tc>
        <w:tc>
          <w:tcPr>
            <w:tcW w:w="28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Радио телевизија Врање доо – </w:t>
            </w:r>
            <w:r>
              <w:rPr>
                <w:rFonts w:ascii="Times New Roman" w:hAnsi="Times New Roman" w:cs="Times New Roman" w:eastAsia="Times New Roman"/>
                <w:b/>
                <w:color w:val="auto"/>
                <w:spacing w:val="0"/>
                <w:position w:val="0"/>
                <w:sz w:val="18"/>
                <w:u w:val="single"/>
                <w:shd w:fill="auto" w:val="clear"/>
              </w:rPr>
              <w:t xml:space="preserve">RADIO VRANJE</w:t>
            </w:r>
          </w:p>
        </w:tc>
        <w:tc>
          <w:tcPr>
            <w:tcW w:w="22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327" w:left="0" w:firstLine="0"/>
              <w:jc w:val="center"/>
              <w:rPr>
                <w:color w:val="auto"/>
                <w:spacing w:val="0"/>
                <w:position w:val="0"/>
              </w:rPr>
            </w:pP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И ја сам твој пријатељ"</w:t>
            </w: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327"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400.000,00</w:t>
            </w:r>
          </w:p>
        </w:tc>
        <w:tc>
          <w:tcPr>
            <w:tcW w:w="31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40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Ukupno je objavljeno 16 medijskih sadržaja. Obra</w:t>
            </w:r>
            <w:r>
              <w:rPr>
                <w:rFonts w:ascii="Calibri" w:hAnsi="Calibri" w:cs="Calibri" w:eastAsia="Calibri"/>
                <w:color w:val="auto"/>
                <w:spacing w:val="0"/>
                <w:position w:val="0"/>
                <w:sz w:val="22"/>
                <w:shd w:fill="auto" w:val="clear"/>
              </w:rPr>
              <w:t xml:space="preserve">đene teme poput socijalnog statusa, osnovnih prava, svakodnevnih potreba i problema osoba sa invaliditetom. Radilo se i na boljoj informisanosti OSI. Ispunjen cilj projekta. </w:t>
            </w:r>
          </w:p>
        </w:tc>
      </w:tr>
      <w:tr>
        <w:trPr>
          <w:trHeight w:val="1" w:hRule="atLeast"/>
          <w:jc w:val="left"/>
        </w:trPr>
        <w:tc>
          <w:tcPr>
            <w:tcW w:w="14616" w:type="dxa"/>
            <w:gridSpan w:val="6"/>
            <w:tcBorders>
              <w:top w:val="single" w:color="000000" w:sz="4"/>
              <w:left w:val="single" w:color="000000" w:sz="4"/>
              <w:bottom w:val="single" w:color="000000" w:sz="4"/>
              <w:right w:val="single" w:color="000000" w:sz="4"/>
            </w:tcBorders>
            <w:shd w:color="auto" w:fill="bfbfb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rPr>
            </w:pPr>
            <w:r>
              <w:rPr>
                <w:rFonts w:ascii="Calibri" w:hAnsi="Calibri" w:cs="Calibri" w:eastAsia="Calibri"/>
                <w:b/>
                <w:color w:val="auto"/>
                <w:spacing w:val="0"/>
                <w:position w:val="0"/>
                <w:sz w:val="22"/>
                <w:shd w:fill="auto" w:val="clear"/>
              </w:rPr>
              <w:t xml:space="preserve">ШТАМПАНИ МЕДИЈИ</w:t>
            </w:r>
          </w:p>
        </w:tc>
      </w:tr>
      <w:tr>
        <w:trPr>
          <w:trHeight w:val="1" w:hRule="atLeast"/>
          <w:jc w:val="left"/>
        </w:trPr>
        <w:tc>
          <w:tcPr>
            <w:tcW w:w="6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16.</w:t>
            </w:r>
          </w:p>
        </w:tc>
        <w:tc>
          <w:tcPr>
            <w:tcW w:w="28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b/>
                <w:color w:val="auto"/>
                <w:spacing w:val="0"/>
                <w:position w:val="0"/>
                <w:sz w:val="18"/>
                <w:shd w:fill="auto" w:val="clear"/>
              </w:rPr>
            </w:pPr>
            <w:r>
              <w:rPr>
                <w:rFonts w:ascii="Calibri" w:hAnsi="Calibri" w:cs="Calibri" w:eastAsia="Calibri"/>
                <w:color w:val="auto"/>
                <w:spacing w:val="0"/>
                <w:position w:val="0"/>
                <w:sz w:val="18"/>
                <w:shd w:fill="auto" w:val="clear"/>
              </w:rPr>
              <w:t xml:space="preserve">Novinsko izdava</w:t>
            </w:r>
            <w:r>
              <w:rPr>
                <w:rFonts w:ascii="Calibri" w:hAnsi="Calibri" w:cs="Calibri" w:eastAsia="Calibri"/>
                <w:color w:val="auto"/>
                <w:spacing w:val="0"/>
                <w:position w:val="0"/>
                <w:sz w:val="18"/>
                <w:shd w:fill="auto" w:val="clear"/>
              </w:rPr>
              <w:t xml:space="preserve">čko preduzeće Novi Srpski venac Andon Dimitrijević i ortaci od Bujanovac</w:t>
            </w:r>
            <w:r>
              <w:rPr>
                <w:rFonts w:ascii="Calibri" w:hAnsi="Calibri" w:cs="Calibri" w:eastAsia="Calibri"/>
                <w:b/>
                <w:color w:val="auto"/>
                <w:spacing w:val="0"/>
                <w:position w:val="0"/>
                <w:sz w:val="18"/>
                <w:shd w:fill="auto" w:val="clear"/>
              </w:rPr>
              <w:t xml:space="preserve"> –</w:t>
            </w:r>
          </w:p>
          <w:p>
            <w:pPr>
              <w:spacing w:before="0" w:after="0" w:line="240"/>
              <w:ind w:right="0" w:left="0" w:firstLine="0"/>
              <w:jc w:val="both"/>
              <w:rPr>
                <w:color w:val="auto"/>
                <w:spacing w:val="0"/>
                <w:position w:val="0"/>
              </w:rPr>
            </w:pPr>
            <w:r>
              <w:rPr>
                <w:rFonts w:ascii="Calibri" w:hAnsi="Calibri" w:cs="Calibri" w:eastAsia="Calibri"/>
                <w:b/>
                <w:color w:val="auto"/>
                <w:spacing w:val="0"/>
                <w:position w:val="0"/>
                <w:sz w:val="18"/>
                <w:u w:val="single"/>
                <w:shd w:fill="auto" w:val="clear"/>
              </w:rPr>
              <w:t xml:space="preserve">SRPSKI VENAC</w:t>
            </w:r>
          </w:p>
        </w:tc>
        <w:tc>
          <w:tcPr>
            <w:tcW w:w="22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327" w:left="0" w:firstLine="0"/>
              <w:jc w:val="center"/>
              <w:rPr>
                <w:rFonts w:ascii="Calibri" w:hAnsi="Calibri" w:cs="Calibri" w:eastAsia="Calibri"/>
                <w:color w:val="auto"/>
                <w:spacing w:val="0"/>
                <w:position w:val="0"/>
              </w:rPr>
            </w:pPr>
            <w:r>
              <w:rPr>
                <w:rFonts w:ascii="Calibri" w:hAnsi="Calibri" w:cs="Calibri" w:eastAsia="Calibri"/>
                <w:color w:val="auto"/>
                <w:spacing w:val="0"/>
                <w:position w:val="0"/>
                <w:sz w:val="20"/>
                <w:shd w:fill="auto" w:val="clear"/>
              </w:rPr>
              <w:t xml:space="preserve">"</w:t>
            </w:r>
            <w:r>
              <w:rPr>
                <w:rFonts w:ascii="Calibri" w:hAnsi="Calibri" w:cs="Calibri" w:eastAsia="Calibri"/>
                <w:color w:val="auto"/>
                <w:spacing w:val="0"/>
                <w:position w:val="0"/>
                <w:sz w:val="20"/>
                <w:shd w:fill="auto" w:val="clear"/>
              </w:rPr>
              <w:t xml:space="preserve">Проблеми наталитета и повећање свести појединаца о значају рађања деце"</w:t>
            </w: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327"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100.000,00</w:t>
            </w:r>
          </w:p>
        </w:tc>
        <w:tc>
          <w:tcPr>
            <w:tcW w:w="31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40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U okviru lista, objavljeno je deset medijskih sadržaja. Osnovne teme bile su zapošljavanje mladih i finansijska pomo</w:t>
            </w:r>
            <w:r>
              <w:rPr>
                <w:rFonts w:ascii="Calibri" w:hAnsi="Calibri" w:cs="Calibri" w:eastAsia="Calibri"/>
                <w:color w:val="auto"/>
                <w:spacing w:val="0"/>
                <w:position w:val="0"/>
                <w:sz w:val="22"/>
                <w:shd w:fill="auto" w:val="clear"/>
              </w:rPr>
              <w:t xml:space="preserve">ć kao preduslov za povećanje nataliteta. </w:t>
            </w:r>
            <w:r>
              <w:rPr>
                <w:rFonts w:ascii="Calibri" w:hAnsi="Calibri" w:cs="Calibri" w:eastAsia="Calibri"/>
                <w:color w:val="auto"/>
                <w:spacing w:val="0"/>
                <w:position w:val="0"/>
                <w:sz w:val="22"/>
                <w:shd w:fill="auto" w:val="clear"/>
              </w:rPr>
              <w:t xml:space="preserve">Ispunjen je cilj projekta. </w:t>
            </w:r>
          </w:p>
        </w:tc>
      </w:tr>
      <w:tr>
        <w:trPr>
          <w:trHeight w:val="1" w:hRule="atLeast"/>
          <w:jc w:val="left"/>
        </w:trPr>
        <w:tc>
          <w:tcPr>
            <w:tcW w:w="6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17.</w:t>
            </w:r>
          </w:p>
        </w:tc>
        <w:tc>
          <w:tcPr>
            <w:tcW w:w="28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rPr>
            </w:pPr>
            <w:r>
              <w:rPr>
                <w:rFonts w:ascii="Calibri" w:hAnsi="Calibri" w:cs="Calibri" w:eastAsia="Calibri"/>
                <w:color w:val="auto"/>
                <w:spacing w:val="0"/>
                <w:position w:val="0"/>
                <w:sz w:val="18"/>
                <w:shd w:fill="auto" w:val="clear"/>
              </w:rPr>
              <w:t xml:space="preserve">Удружење за развој квалитета живота и рада грађана „HUMANIS“ Ниш</w:t>
            </w:r>
            <w:r>
              <w:rPr>
                <w:rFonts w:ascii="Calibri" w:hAnsi="Calibri" w:cs="Calibri" w:eastAsia="Calibri"/>
                <w:color w:val="auto"/>
                <w:spacing w:val="0"/>
                <w:position w:val="0"/>
                <w:sz w:val="20"/>
                <w:shd w:fill="auto" w:val="clear"/>
              </w:rPr>
              <w:t xml:space="preserve">  </w:t>
            </w:r>
            <w:r>
              <w:rPr>
                <w:rFonts w:ascii="Calibri" w:hAnsi="Calibri" w:cs="Calibri" w:eastAsia="Calibri"/>
                <w:b/>
                <w:color w:val="auto"/>
                <w:spacing w:val="0"/>
                <w:position w:val="0"/>
                <w:sz w:val="20"/>
                <w:u w:val="single"/>
                <w:shd w:fill="auto" w:val="clear"/>
              </w:rPr>
              <w:t xml:space="preserve">SLOVO JUGA</w:t>
            </w:r>
          </w:p>
        </w:tc>
        <w:tc>
          <w:tcPr>
            <w:tcW w:w="22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327" w:left="0" w:firstLine="0"/>
              <w:jc w:val="center"/>
              <w:rPr>
                <w:rFonts w:ascii="Calibri" w:hAnsi="Calibri" w:cs="Calibri" w:eastAsia="Calibri"/>
                <w:color w:val="auto"/>
                <w:spacing w:val="0"/>
                <w:position w:val="0"/>
              </w:rPr>
            </w:pPr>
            <w:r>
              <w:rPr>
                <w:rFonts w:ascii="Calibri" w:hAnsi="Calibri" w:cs="Calibri" w:eastAsia="Calibri"/>
                <w:color w:val="auto"/>
                <w:spacing w:val="0"/>
                <w:position w:val="0"/>
                <w:sz w:val="20"/>
                <w:shd w:fill="auto" w:val="clear"/>
              </w:rPr>
              <w:t xml:space="preserve">„</w:t>
            </w:r>
            <w:r>
              <w:rPr>
                <w:rFonts w:ascii="Calibri" w:hAnsi="Calibri" w:cs="Calibri" w:eastAsia="Calibri"/>
                <w:color w:val="auto"/>
                <w:spacing w:val="0"/>
                <w:position w:val="0"/>
                <w:sz w:val="20"/>
                <w:shd w:fill="auto" w:val="clear"/>
              </w:rPr>
              <w:t xml:space="preserve">Слово Врања у Европској години културног наслеђа 2018“</w:t>
            </w: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327"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100.000,00</w:t>
            </w:r>
          </w:p>
        </w:tc>
        <w:tc>
          <w:tcPr>
            <w:tcW w:w="31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40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Projekat je podrazumevao i ostvario 12 medijskih sadržaja. Zanimljivi tekstovi o istorijskim lokalitetima grada i mogu</w:t>
            </w:r>
            <w:r>
              <w:rPr>
                <w:rFonts w:ascii="Calibri" w:hAnsi="Calibri" w:cs="Calibri" w:eastAsia="Calibri"/>
                <w:color w:val="auto"/>
                <w:spacing w:val="0"/>
                <w:position w:val="0"/>
                <w:sz w:val="22"/>
                <w:shd w:fill="auto" w:val="clear"/>
              </w:rPr>
              <w:t xml:space="preserve">ćnostima razvijanja kulturnog turizma. Ispunjen cilj projekta. </w:t>
            </w:r>
          </w:p>
        </w:tc>
      </w:tr>
      <w:tr>
        <w:trPr>
          <w:trHeight w:val="1" w:hRule="atLeast"/>
          <w:jc w:val="left"/>
        </w:trPr>
        <w:tc>
          <w:tcPr>
            <w:tcW w:w="5778" w:type="dxa"/>
            <w:gridSpan w:val="3"/>
            <w:tcBorders>
              <w:top w:val="single" w:color="000000" w:sz="4"/>
              <w:left w:val="single" w:color="000000" w:sz="4"/>
              <w:bottom w:val="single" w:color="000000" w:sz="4"/>
              <w:right w:val="single" w:color="000000" w:sz="4"/>
            </w:tcBorders>
            <w:shd w:color="auto" w:fill="bfbfbf" w:val="clear"/>
            <w:tcMar>
              <w:left w:w="108" w:type="dxa"/>
              <w:right w:w="108" w:type="dxa"/>
            </w:tcMar>
            <w:vAlign w:val="top"/>
          </w:tcPr>
          <w:p>
            <w:pPr>
              <w:spacing w:before="0" w:after="0" w:line="240"/>
              <w:ind w:right="327" w:left="0" w:firstLine="0"/>
              <w:jc w:val="both"/>
              <w:rPr>
                <w:rFonts w:ascii="Calibri" w:hAnsi="Calibri" w:cs="Calibri" w:eastAsia="Calibri"/>
                <w:color w:val="auto"/>
                <w:spacing w:val="0"/>
                <w:position w:val="0"/>
              </w:rPr>
            </w:pPr>
            <w:r>
              <w:rPr>
                <w:rFonts w:ascii="Calibri" w:hAnsi="Calibri" w:cs="Calibri" w:eastAsia="Calibri"/>
                <w:b/>
                <w:color w:val="auto"/>
                <w:spacing w:val="0"/>
                <w:position w:val="0"/>
                <w:sz w:val="20"/>
                <w:shd w:fill="auto" w:val="clear"/>
              </w:rPr>
              <w:t xml:space="preserve">УКУПАН ИЗНОС ОПРЕДЕЉЕНИХ СРЕДСТАВА</w:t>
            </w:r>
          </w:p>
        </w:tc>
        <w:tc>
          <w:tcPr>
            <w:tcW w:w="1701" w:type="dxa"/>
            <w:tcBorders>
              <w:top w:val="single" w:color="000000" w:sz="4"/>
              <w:left w:val="single" w:color="000000" w:sz="4"/>
              <w:bottom w:val="single" w:color="000000" w:sz="4"/>
              <w:right w:val="single" w:color="000000" w:sz="4"/>
            </w:tcBorders>
            <w:shd w:color="auto" w:fill="bfbfbf" w:val="clear"/>
            <w:tcMar>
              <w:left w:w="108" w:type="dxa"/>
              <w:right w:w="108" w:type="dxa"/>
            </w:tcMar>
            <w:vAlign w:val="top"/>
          </w:tcPr>
          <w:p>
            <w:pPr>
              <w:spacing w:before="0" w:after="0" w:line="240"/>
              <w:ind w:right="327" w:left="0" w:firstLine="0"/>
              <w:jc w:val="both"/>
              <w:rPr>
                <w:color w:val="auto"/>
                <w:spacing w:val="0"/>
                <w:position w:val="0"/>
              </w:rPr>
            </w:pPr>
            <w:r>
              <w:rPr>
                <w:rFonts w:ascii="Times New Roman" w:hAnsi="Times New Roman" w:cs="Times New Roman" w:eastAsia="Times New Roman"/>
                <w:b/>
                <w:color w:val="auto"/>
                <w:spacing w:val="0"/>
                <w:position w:val="0"/>
                <w:sz w:val="20"/>
                <w:shd w:fill="auto" w:val="clear"/>
              </w:rPr>
              <w:t xml:space="preserve">3.500.000,00</w:t>
            </w:r>
          </w:p>
        </w:tc>
        <w:tc>
          <w:tcPr>
            <w:tcW w:w="3119" w:type="dxa"/>
            <w:tcBorders>
              <w:top w:val="single" w:color="000000" w:sz="4"/>
              <w:left w:val="single" w:color="000000" w:sz="4"/>
              <w:bottom w:val="single" w:color="000000" w:sz="4"/>
              <w:right w:val="single" w:color="000000" w:sz="4"/>
            </w:tcBorders>
            <w:shd w:color="auto" w:fill="bfbfb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4018" w:type="dxa"/>
            <w:tcBorders>
              <w:top w:val="single" w:color="000000" w:sz="4"/>
              <w:left w:val="single" w:color="000000" w:sz="4"/>
              <w:bottom w:val="single" w:color="000000" w:sz="4"/>
              <w:right w:val="single" w:color="000000" w:sz="4"/>
            </w:tcBorders>
            <w:shd w:color="auto" w:fill="bfbfb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bl>
    <w:p>
      <w:pPr>
        <w:spacing w:before="0" w:after="200" w:line="276"/>
        <w:ind w:right="0" w:left="0" w:firstLine="0"/>
        <w:jc w:val="both"/>
        <w:rPr>
          <w:rFonts w:ascii="Calibri" w:hAnsi="Calibri" w:cs="Calibri" w:eastAsia="Calibri"/>
          <w:color w:val="auto"/>
          <w:spacing w:val="0"/>
          <w:position w:val="0"/>
          <w:sz w:val="22"/>
          <w:shd w:fill="auto" w:val="clear"/>
        </w:rPr>
      </w:pPr>
    </w:p>
    <w:p>
      <w:pPr>
        <w:spacing w:before="0" w:after="200" w:line="276"/>
        <w:ind w:right="0" w:left="0" w:firstLine="0"/>
        <w:jc w:val="both"/>
        <w:rPr>
          <w:rFonts w:ascii="Times New Roman" w:hAnsi="Times New Roman" w:cs="Times New Roman" w:eastAsia="Times New Roman"/>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media/image0.wmf" Id="docRId1" Type="http://schemas.openxmlformats.org/officeDocument/2006/relationships/image"/><Relationship TargetMode="External" Target="http://www.vladicinhanvesti.rs/" Id="docRId3" Type="http://schemas.openxmlformats.org/officeDocument/2006/relationships/hyperlink"/><Relationship Target="styles.xml" Id="docRId5" Type="http://schemas.openxmlformats.org/officeDocument/2006/relationships/styles"/><Relationship Target="embeddings/oleObject0.bin" Id="docRId0" Type="http://schemas.openxmlformats.org/officeDocument/2006/relationships/oleObject"/><Relationship TargetMode="External" Target="http://www.vranjskaplustv.rs/" Id="docRId2" Type="http://schemas.openxmlformats.org/officeDocument/2006/relationships/hyperlink"/><Relationship Target="numbering.xml" Id="docRId4" Type="http://schemas.openxmlformats.org/officeDocument/2006/relationships/numbering"/></Relationships>
</file>